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287B96">
      <w:pPr>
        <w:sectPr w:rsidR="00A66099" w:rsidSect="00B565CC">
          <w:headerReference w:type="default" r:id="rId8"/>
          <w:footerReference w:type="default" r:id="rId9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3750F1">
        <w:tc>
          <w:tcPr>
            <w:tcW w:w="8978" w:type="dxa"/>
          </w:tcPr>
          <w:p w:rsidR="00D35AD6" w:rsidRPr="009E00C1" w:rsidRDefault="00287B96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287B96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832EB3" w:rsidRPr="00832EB3" w:rsidRDefault="00287B96" w:rsidP="00832EB3">
      <w:pPr>
        <w:rPr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lastRenderedPageBreak/>
        <w:t>PARA:</w:t>
      </w:r>
      <w:r w:rsidRPr="00832EB3">
        <w:rPr>
          <w:color w:val="000000"/>
          <w:sz w:val="22"/>
          <w:szCs w:val="22"/>
        </w:rPr>
        <w:tab/>
      </w:r>
      <w:r w:rsidRPr="00832EB3">
        <w:rPr>
          <w:color w:val="000000"/>
          <w:sz w:val="22"/>
          <w:szCs w:val="22"/>
        </w:rPr>
        <w:tab/>
        <w:t xml:space="preserve">            </w:t>
      </w:r>
      <w:r w:rsidRPr="00832EB3">
        <w:rPr>
          <w:b/>
          <w:color w:val="000000"/>
          <w:sz w:val="22"/>
          <w:szCs w:val="22"/>
        </w:rPr>
        <w:t>Dr. DAIRO GIRALDO VELÁSQUEZ</w:t>
      </w:r>
    </w:p>
    <w:p w:rsidR="00832EB3" w:rsidRPr="00832EB3" w:rsidRDefault="00287B96" w:rsidP="00832EB3">
      <w:pPr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ab/>
      </w:r>
      <w:r w:rsidRPr="00832EB3">
        <w:rPr>
          <w:color w:val="000000"/>
          <w:sz w:val="22"/>
          <w:szCs w:val="22"/>
        </w:rPr>
        <w:tab/>
      </w:r>
      <w:r w:rsidRPr="00832EB3">
        <w:rPr>
          <w:color w:val="000000"/>
          <w:sz w:val="22"/>
          <w:szCs w:val="22"/>
        </w:rPr>
        <w:tab/>
        <w:t>Responsable del Proceso Gestión Financiera</w:t>
      </w:r>
    </w:p>
    <w:p w:rsidR="00832EB3" w:rsidRPr="00832EB3" w:rsidRDefault="00287B96" w:rsidP="00832EB3">
      <w:pPr>
        <w:rPr>
          <w:color w:val="000000"/>
          <w:sz w:val="22"/>
          <w:szCs w:val="22"/>
        </w:rPr>
      </w:pPr>
    </w:p>
    <w:p w:rsidR="00832EB3" w:rsidRPr="00832EB3" w:rsidRDefault="00287B96" w:rsidP="00832EB3">
      <w:pPr>
        <w:jc w:val="both"/>
        <w:outlineLvl w:val="0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DE:</w:t>
      </w:r>
      <w:r w:rsidRPr="00832EB3">
        <w:rPr>
          <w:color w:val="000000"/>
          <w:sz w:val="22"/>
          <w:szCs w:val="22"/>
        </w:rPr>
        <w:tab/>
      </w:r>
      <w:r w:rsidRPr="00832EB3">
        <w:rPr>
          <w:color w:val="000000"/>
          <w:sz w:val="22"/>
          <w:szCs w:val="22"/>
        </w:rPr>
        <w:tab/>
      </w:r>
      <w:r w:rsidRPr="00832EB3">
        <w:rPr>
          <w:color w:val="000000"/>
          <w:sz w:val="22"/>
          <w:szCs w:val="22"/>
        </w:rPr>
        <w:tab/>
      </w:r>
      <w:r w:rsidRPr="00832EB3">
        <w:rPr>
          <w:b/>
          <w:color w:val="000000"/>
          <w:sz w:val="22"/>
          <w:szCs w:val="22"/>
        </w:rPr>
        <w:t>JEFE OFICINA DE CONTROL INTERNO</w:t>
      </w:r>
    </w:p>
    <w:p w:rsidR="00832EB3" w:rsidRPr="00832EB3" w:rsidRDefault="00287B96" w:rsidP="00832EB3">
      <w:pPr>
        <w:rPr>
          <w:color w:val="000000"/>
          <w:sz w:val="22"/>
          <w:szCs w:val="22"/>
        </w:rPr>
      </w:pPr>
    </w:p>
    <w:p w:rsidR="00832EB3" w:rsidRPr="00832EB3" w:rsidRDefault="00287B96" w:rsidP="00832EB3">
      <w:pPr>
        <w:ind w:left="2124" w:hanging="2124"/>
        <w:rPr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ASUNTO:</w:t>
      </w:r>
      <w:r w:rsidRPr="00832EB3">
        <w:rPr>
          <w:color w:val="000000"/>
          <w:sz w:val="22"/>
          <w:szCs w:val="22"/>
        </w:rPr>
        <w:tab/>
      </w:r>
      <w:r w:rsidRPr="00832EB3">
        <w:rPr>
          <w:color w:val="000000"/>
          <w:sz w:val="22"/>
          <w:szCs w:val="22"/>
        </w:rPr>
        <w:t xml:space="preserve">Seguimiento Anexo 1-Plan de Mejoramiento - Acciones Correctivas, de Mejora y Anexo 1-Plan de Evaluación y Seguimiento de los Riesgos, a Diciembre de 2015. </w:t>
      </w:r>
    </w:p>
    <w:p w:rsidR="00832EB3" w:rsidRPr="00832EB3" w:rsidRDefault="00287B96" w:rsidP="00832EB3">
      <w:pPr>
        <w:ind w:left="2124" w:hanging="2124"/>
        <w:rPr>
          <w:color w:val="000000"/>
          <w:sz w:val="22"/>
          <w:szCs w:val="22"/>
        </w:rPr>
      </w:pPr>
    </w:p>
    <w:p w:rsidR="00832EB3" w:rsidRPr="00832EB3" w:rsidRDefault="00287B96" w:rsidP="00832EB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En cumplimiento con el Programa Anual de Evaluaciones Independientes PAEI Vigencia 2015 y la Resolu</w:t>
      </w:r>
      <w:r w:rsidRPr="00832EB3">
        <w:rPr>
          <w:color w:val="000000"/>
          <w:sz w:val="22"/>
          <w:szCs w:val="22"/>
        </w:rPr>
        <w:t>ción Reglamentaria No 021 de Junio 11 de 2015, atentamente me permito comunicarle el resultado del estado de las acciones incluidas en los Anexos - Plan de Mejoramiento Acciones Correctivas y de Mejora y Plan de Evaluación y Seguimiento de los Riesgos, con</w:t>
      </w:r>
      <w:r w:rsidRPr="00832EB3">
        <w:rPr>
          <w:color w:val="000000"/>
          <w:sz w:val="22"/>
          <w:szCs w:val="22"/>
        </w:rPr>
        <w:t xml:space="preserve"> corte a Diciembre de 2015.</w:t>
      </w:r>
    </w:p>
    <w:p w:rsidR="00832EB3" w:rsidRPr="00832EB3" w:rsidRDefault="00287B96" w:rsidP="00832EB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ANEXO 1-PLAN DE MEJORAMIENTO ACCIONES CORRECTIVAS Y DE MEJORA</w:t>
      </w:r>
    </w:p>
    <w:p w:rsidR="00832EB3" w:rsidRPr="00832EB3" w:rsidRDefault="00287B96" w:rsidP="00832EB3">
      <w:pPr>
        <w:ind w:left="720"/>
        <w:jc w:val="both"/>
        <w:rPr>
          <w:b/>
          <w:color w:val="000000"/>
          <w:sz w:val="22"/>
          <w:szCs w:val="22"/>
        </w:rPr>
      </w:pPr>
    </w:p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 xml:space="preserve">Verificadas las acciones que permiten solucionar las observaciones realizadas por la Oficina de Control Interno y los entes internos y externos de control, a </w:t>
      </w:r>
      <w:r w:rsidRPr="00832EB3">
        <w:rPr>
          <w:color w:val="000000"/>
          <w:sz w:val="22"/>
          <w:szCs w:val="22"/>
        </w:rPr>
        <w:t>continuación se resume el estado de los hallazgos clasificados por origen:</w:t>
      </w:r>
    </w:p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ind w:left="1418" w:hanging="1560"/>
        <w:jc w:val="center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 xml:space="preserve">Anexo 1 </w:t>
      </w:r>
    </w:p>
    <w:p w:rsidR="00832EB3" w:rsidRPr="00832EB3" w:rsidRDefault="00287B96" w:rsidP="00832EB3">
      <w:pPr>
        <w:ind w:left="1418" w:hanging="1560"/>
        <w:jc w:val="center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Plan de Mejoramiento-Acciones Correctivas y de Mejora</w:t>
      </w:r>
    </w:p>
    <w:p w:rsidR="00832EB3" w:rsidRPr="00832EB3" w:rsidRDefault="00287B96" w:rsidP="00832EB3">
      <w:pPr>
        <w:ind w:left="1418" w:hanging="1560"/>
        <w:jc w:val="center"/>
        <w:rPr>
          <w:b/>
          <w:color w:val="000000"/>
          <w:sz w:val="22"/>
          <w:szCs w:val="22"/>
        </w:rPr>
      </w:pPr>
    </w:p>
    <w:tbl>
      <w:tblPr>
        <w:tblW w:w="8799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1701"/>
        <w:gridCol w:w="1265"/>
        <w:gridCol w:w="1387"/>
        <w:gridCol w:w="1344"/>
        <w:gridCol w:w="1998"/>
      </w:tblGrid>
      <w:tr w:rsidR="003750F1" w:rsidTr="00171258">
        <w:trPr>
          <w:trHeight w:val="645"/>
        </w:trPr>
        <w:tc>
          <w:tcPr>
            <w:tcW w:w="2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>ORIGEN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>TIPO DE ACCIÓN (Correctiva o de mejora)</w:t>
            </w: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>ABIERTAS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 xml:space="preserve">CERRADAS 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>SE SUGIERE EL CIERRE (A*)</w:t>
            </w:r>
          </w:p>
        </w:tc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>TOTAL CERRADAS  MAS  ABI</w:t>
            </w:r>
            <w:r w:rsidRPr="00832EB3">
              <w:rPr>
                <w:b/>
                <w:color w:val="000000"/>
                <w:sz w:val="22"/>
                <w:szCs w:val="22"/>
              </w:rPr>
              <w:t>ERTAS</w:t>
            </w:r>
          </w:p>
        </w:tc>
      </w:tr>
      <w:tr w:rsidR="003750F1" w:rsidTr="00171258">
        <w:trPr>
          <w:trHeight w:val="252"/>
        </w:trPr>
        <w:tc>
          <w:tcPr>
            <w:tcW w:w="2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50F1" w:rsidTr="00171258">
        <w:trPr>
          <w:trHeight w:val="330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rPr>
                <w:color w:val="000000"/>
                <w:sz w:val="22"/>
                <w:szCs w:val="22"/>
              </w:rPr>
            </w:pPr>
            <w:r w:rsidRPr="00832EB3">
              <w:rPr>
                <w:color w:val="000000"/>
                <w:sz w:val="22"/>
                <w:szCs w:val="22"/>
              </w:rPr>
              <w:t>1. Autoevaluación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Mejora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</w:tr>
      <w:tr w:rsidR="003750F1" w:rsidTr="00171258">
        <w:trPr>
          <w:trHeight w:val="418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rPr>
                <w:color w:val="000000"/>
                <w:sz w:val="22"/>
                <w:szCs w:val="22"/>
              </w:rPr>
            </w:pPr>
            <w:r w:rsidRPr="00832EB3">
              <w:rPr>
                <w:color w:val="000000"/>
                <w:sz w:val="22"/>
                <w:szCs w:val="22"/>
              </w:rPr>
              <w:t>6. Auditoria Fiscal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Correctiva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</w:tr>
      <w:tr w:rsidR="003750F1" w:rsidTr="00171258">
        <w:trPr>
          <w:trHeight w:val="330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 xml:space="preserve">TOTAL HALLAZGOS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</w:tr>
      <w:tr w:rsidR="003750F1" w:rsidTr="00171258">
        <w:trPr>
          <w:trHeight w:val="270"/>
        </w:trPr>
        <w:tc>
          <w:tcPr>
            <w:tcW w:w="879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832EB3" w:rsidRPr="00832EB3" w:rsidRDefault="00287B96" w:rsidP="001712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2EB3">
              <w:rPr>
                <w:b/>
                <w:bCs/>
                <w:color w:val="000000"/>
                <w:sz w:val="22"/>
                <w:szCs w:val="22"/>
              </w:rPr>
              <w:t>HALLAZGOS INGRESADOS EN EL CUARTO TRIMESTRE DE 2015</w:t>
            </w:r>
          </w:p>
        </w:tc>
      </w:tr>
      <w:tr w:rsidR="003750F1" w:rsidTr="00171258">
        <w:trPr>
          <w:trHeight w:val="420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EB3" w:rsidRPr="00832EB3" w:rsidRDefault="00287B96" w:rsidP="00171258">
            <w:pPr>
              <w:rPr>
                <w:bCs/>
                <w:color w:val="000000"/>
                <w:sz w:val="22"/>
                <w:szCs w:val="22"/>
              </w:rPr>
            </w:pPr>
            <w:r w:rsidRPr="00832EB3">
              <w:rPr>
                <w:color w:val="000000"/>
                <w:sz w:val="22"/>
                <w:szCs w:val="22"/>
              </w:rPr>
              <w:t>6.Auditoria Fiscal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Correctiva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EB3" w:rsidRPr="00832EB3" w:rsidRDefault="00287B96" w:rsidP="001712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2EB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EB3" w:rsidRPr="00832EB3" w:rsidRDefault="00287B96" w:rsidP="001712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2EB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EB3" w:rsidRPr="00832EB3" w:rsidRDefault="00287B96" w:rsidP="001712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2EB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EB3" w:rsidRPr="00832EB3" w:rsidRDefault="00287B96" w:rsidP="001712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2EB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750F1" w:rsidTr="00171258">
        <w:trPr>
          <w:trHeight w:val="330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2EB3">
              <w:rPr>
                <w:b/>
                <w:bCs/>
                <w:color w:val="000000"/>
                <w:sz w:val="22"/>
                <w:szCs w:val="22"/>
              </w:rPr>
              <w:t>TOTAL GENERAL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2E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</w:tr>
    </w:tbl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 xml:space="preserve">Fuente: Plan de </w:t>
      </w:r>
      <w:r w:rsidRPr="00832EB3">
        <w:rPr>
          <w:color w:val="000000"/>
          <w:sz w:val="22"/>
          <w:szCs w:val="22"/>
        </w:rPr>
        <w:t>Mejoramiento Proceso Gestión Financiera, Diciembre de 2015.</w:t>
      </w:r>
    </w:p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El cuadro anterior muestra, que las acciones de mejoramiento tendientes a subsanar los hallazgos del Proceso de Gestión Financiera revelan que se cierra una (1) acción de mejora y se solicitará e</w:t>
      </w:r>
      <w:r w:rsidRPr="00832EB3">
        <w:rPr>
          <w:color w:val="000000"/>
          <w:sz w:val="22"/>
          <w:szCs w:val="22"/>
        </w:rPr>
        <w:t xml:space="preserve">l cierre de once (11) hallazgos a la  Auditoría Fiscal.  </w:t>
      </w:r>
    </w:p>
    <w:p w:rsid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32EB3">
        <w:rPr>
          <w:color w:val="000000"/>
          <w:sz w:val="22"/>
          <w:szCs w:val="22"/>
        </w:rPr>
        <w:t>Se verificó el avance de las acciones implementadas, la Oficina de Control Interno evidenció que el cumplimiento de las mismas esta soportado en los documentos elaborados por el responsable del pr</w:t>
      </w:r>
      <w:r w:rsidRPr="00832EB3">
        <w:rPr>
          <w:color w:val="000000"/>
          <w:sz w:val="22"/>
          <w:szCs w:val="22"/>
        </w:rPr>
        <w:t xml:space="preserve">oceso, el estado actual de las acciones se relaciona a continuación: </w:t>
      </w:r>
    </w:p>
    <w:p w:rsidR="00832EB3" w:rsidRPr="00832EB3" w:rsidRDefault="00287B96" w:rsidP="00832EB3">
      <w:pPr>
        <w:tabs>
          <w:tab w:val="left" w:pos="1440"/>
        </w:tabs>
        <w:jc w:val="both"/>
        <w:rPr>
          <w:sz w:val="22"/>
          <w:szCs w:val="22"/>
        </w:rPr>
      </w:pPr>
    </w:p>
    <w:p w:rsidR="00832EB3" w:rsidRPr="00832EB3" w:rsidRDefault="00287B96" w:rsidP="00832EB3">
      <w:pPr>
        <w:tabs>
          <w:tab w:val="left" w:pos="1440"/>
        </w:tabs>
        <w:jc w:val="both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Origen 1. AUTOEVALUACIÓN</w:t>
      </w:r>
    </w:p>
    <w:p w:rsidR="00832EB3" w:rsidRPr="00832EB3" w:rsidRDefault="00287B96" w:rsidP="00832EB3">
      <w:pPr>
        <w:tabs>
          <w:tab w:val="left" w:pos="1440"/>
        </w:tabs>
        <w:jc w:val="both"/>
        <w:rPr>
          <w:b/>
          <w:color w:val="000000"/>
          <w:sz w:val="22"/>
          <w:szCs w:val="22"/>
        </w:rPr>
      </w:pPr>
    </w:p>
    <w:p w:rsidR="00832EB3" w:rsidRP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La acción “</w:t>
      </w:r>
      <w:r w:rsidRPr="00832EB3">
        <w:rPr>
          <w:i/>
          <w:color w:val="000000"/>
          <w:sz w:val="22"/>
          <w:szCs w:val="22"/>
        </w:rPr>
        <w:t>Realizar seguimiento a la ejecución acompañado del supervisor o interventor del contrato”</w:t>
      </w:r>
      <w:r w:rsidRPr="00832EB3">
        <w:rPr>
          <w:color w:val="000000"/>
          <w:sz w:val="22"/>
          <w:szCs w:val="22"/>
        </w:rPr>
        <w:t>,</w:t>
      </w:r>
      <w:r w:rsidRPr="00832EB3">
        <w:rPr>
          <w:sz w:val="22"/>
          <w:szCs w:val="22"/>
        </w:rPr>
        <w:t xml:space="preserve"> </w:t>
      </w:r>
      <w:r w:rsidRPr="00832EB3">
        <w:rPr>
          <w:color w:val="000000"/>
          <w:sz w:val="22"/>
          <w:szCs w:val="22"/>
        </w:rPr>
        <w:t>se cierra, por cuanto</w:t>
      </w:r>
      <w:r w:rsidRPr="00832EB3">
        <w:rPr>
          <w:sz w:val="22"/>
          <w:szCs w:val="22"/>
        </w:rPr>
        <w:t xml:space="preserve"> </w:t>
      </w:r>
      <w:r w:rsidRPr="00832EB3">
        <w:rPr>
          <w:color w:val="000000"/>
          <w:sz w:val="22"/>
          <w:szCs w:val="22"/>
        </w:rPr>
        <w:t>se constató que durante la vigencia</w:t>
      </w:r>
      <w:r w:rsidRPr="00832EB3">
        <w:rPr>
          <w:color w:val="000000"/>
          <w:sz w:val="22"/>
          <w:szCs w:val="22"/>
        </w:rPr>
        <w:t xml:space="preserve"> de 2015 el área de Presupuesto realizó seguimiento de manera permanente a la ejecución presupuestal, igualmente, la Subdirección de Contratación actualiza el Plan Anual de Adquisiciones, el control y seguimiento se realiza mediante comunicaciones dirigida</w:t>
      </w:r>
      <w:r w:rsidRPr="00832EB3">
        <w:rPr>
          <w:color w:val="000000"/>
          <w:sz w:val="22"/>
          <w:szCs w:val="22"/>
        </w:rPr>
        <w:t>s a los responsables que solicitan  las necesidades y a los Gerentes de los proyectos 0770 y 0776, dejando constancia en Acta de Junta de Compras y Licitaciones.</w:t>
      </w:r>
    </w:p>
    <w:p w:rsidR="00832EB3" w:rsidRPr="00832EB3" w:rsidRDefault="00287B96" w:rsidP="00832EB3">
      <w:pPr>
        <w:tabs>
          <w:tab w:val="left" w:pos="1440"/>
        </w:tabs>
        <w:jc w:val="both"/>
        <w:rPr>
          <w:b/>
          <w:color w:val="000000"/>
          <w:sz w:val="22"/>
          <w:szCs w:val="22"/>
        </w:rPr>
      </w:pPr>
    </w:p>
    <w:p w:rsidR="00832EB3" w:rsidRPr="00832EB3" w:rsidRDefault="00287B96" w:rsidP="00832EB3">
      <w:pPr>
        <w:tabs>
          <w:tab w:val="left" w:pos="1440"/>
        </w:tabs>
        <w:jc w:val="both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ACCIONES CORRECTIVAS</w:t>
      </w:r>
    </w:p>
    <w:p w:rsidR="00832EB3" w:rsidRPr="00832EB3" w:rsidRDefault="00287B96" w:rsidP="00832EB3">
      <w:pPr>
        <w:tabs>
          <w:tab w:val="left" w:pos="1440"/>
        </w:tabs>
        <w:jc w:val="both"/>
        <w:rPr>
          <w:b/>
          <w:color w:val="000000"/>
          <w:sz w:val="22"/>
          <w:szCs w:val="22"/>
        </w:rPr>
      </w:pPr>
    </w:p>
    <w:p w:rsidR="00832EB3" w:rsidRPr="00832EB3" w:rsidRDefault="00287B96" w:rsidP="00832EB3">
      <w:pPr>
        <w:tabs>
          <w:tab w:val="left" w:pos="1440"/>
        </w:tabs>
        <w:jc w:val="both"/>
        <w:rPr>
          <w:b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Origen 6-AUDITORIA FISCAL</w:t>
      </w:r>
      <w:r w:rsidRPr="00832EB3">
        <w:rPr>
          <w:b/>
          <w:sz w:val="22"/>
          <w:szCs w:val="22"/>
        </w:rPr>
        <w:t xml:space="preserve"> </w:t>
      </w:r>
    </w:p>
    <w:p w:rsidR="00832EB3" w:rsidRPr="00832EB3" w:rsidRDefault="00287B96" w:rsidP="00832EB3">
      <w:pPr>
        <w:tabs>
          <w:tab w:val="left" w:pos="1440"/>
        </w:tabs>
        <w:jc w:val="both"/>
        <w:rPr>
          <w:sz w:val="22"/>
          <w:szCs w:val="22"/>
        </w:rPr>
      </w:pPr>
      <w:r w:rsidRPr="00832EB3">
        <w:rPr>
          <w:sz w:val="22"/>
          <w:szCs w:val="22"/>
        </w:rPr>
        <w:t xml:space="preserve"> </w:t>
      </w:r>
    </w:p>
    <w:p w:rsidR="00832EB3" w:rsidRP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 xml:space="preserve">La Oficina de Control Interno constató el cumplimiento y eficacia de las acciones y solicitará a </w:t>
      </w:r>
      <w:smartTag w:uri="urn:schemas-microsoft-com:office:smarttags" w:element="PersonName">
        <w:smartTagPr>
          <w:attr w:name="ProductID" w:val="la Auditar￭a Fiscal"/>
        </w:smartTagPr>
        <w:r w:rsidRPr="00832EB3">
          <w:rPr>
            <w:color w:val="000000"/>
            <w:sz w:val="22"/>
            <w:szCs w:val="22"/>
          </w:rPr>
          <w:t>la Auditaría Fiscal</w:t>
        </w:r>
      </w:smartTag>
      <w:r w:rsidRPr="00832EB3">
        <w:rPr>
          <w:color w:val="000000"/>
          <w:sz w:val="22"/>
          <w:szCs w:val="22"/>
        </w:rPr>
        <w:t xml:space="preserve"> el cierre de los siguientes hallazgos, los cuales no deben ser retirados del anexo 1- Plan de Mejoramiento sin la autorización del ente de </w:t>
      </w:r>
      <w:r w:rsidRPr="00832EB3">
        <w:rPr>
          <w:color w:val="000000"/>
          <w:sz w:val="22"/>
          <w:szCs w:val="22"/>
        </w:rPr>
        <w:t xml:space="preserve">control. </w:t>
      </w:r>
    </w:p>
    <w:p w:rsidR="00832EB3" w:rsidRP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 xml:space="preserve">  </w:t>
      </w:r>
    </w:p>
    <w:p w:rsidR="00832EB3" w:rsidRPr="00832EB3" w:rsidRDefault="00287B96" w:rsidP="00832EB3">
      <w:pPr>
        <w:tabs>
          <w:tab w:val="left" w:pos="1440"/>
        </w:tabs>
        <w:jc w:val="both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Informe Final Auditoria Regular Vigencia 2011</w:t>
      </w:r>
    </w:p>
    <w:p w:rsidR="00832EB3" w:rsidRP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Hallazgos Nos: (2.4.4) y  (2.4.5.)</w:t>
      </w:r>
    </w:p>
    <w:p w:rsidR="00832EB3" w:rsidRPr="00832EB3" w:rsidRDefault="00287B96" w:rsidP="00832EB3">
      <w:pPr>
        <w:jc w:val="both"/>
        <w:rPr>
          <w:b/>
          <w:color w:val="000000"/>
          <w:sz w:val="22"/>
          <w:szCs w:val="22"/>
        </w:rPr>
      </w:pPr>
    </w:p>
    <w:p w:rsidR="00832EB3" w:rsidRPr="00832EB3" w:rsidRDefault="00287B96" w:rsidP="00832EB3">
      <w:pPr>
        <w:jc w:val="both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Informe final de Auditoría Regular período auditado: 2013</w:t>
      </w:r>
    </w:p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Hallazgos Nos: (2.4.3) y (2.4.12)</w:t>
      </w:r>
    </w:p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jc w:val="both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Informe Final de Auditoría Regular Vigencia 2014- PAAF 2015 - Sept-2</w:t>
      </w:r>
      <w:r w:rsidRPr="00832EB3">
        <w:rPr>
          <w:b/>
          <w:color w:val="000000"/>
          <w:sz w:val="22"/>
          <w:szCs w:val="22"/>
        </w:rPr>
        <w:t>015</w:t>
      </w:r>
    </w:p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Hallazgo No. (2.4.15.)</w:t>
      </w:r>
    </w:p>
    <w:p w:rsidR="00832EB3" w:rsidRP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jc w:val="both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Informe Final de Auditoría Regular Vigencia 2014- PAAF 2015 - Sept-2015</w:t>
      </w:r>
    </w:p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Hallazgos Nos: (2.4.1), (2.4.7.), (2.4.12.), (2.4.13.), (2.4.14.), (2.4.19.).</w:t>
      </w:r>
    </w:p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ANEXO 1 - PLAN DE EVALUACIÓN Y SEGUIMIENTO DE LOS  RIESGOS</w:t>
      </w:r>
    </w:p>
    <w:p w:rsidR="00832EB3" w:rsidRPr="00832EB3" w:rsidRDefault="00287B96" w:rsidP="00832EB3">
      <w:pPr>
        <w:tabs>
          <w:tab w:val="left" w:pos="1440"/>
        </w:tabs>
        <w:jc w:val="both"/>
        <w:rPr>
          <w:b/>
          <w:color w:val="000000"/>
          <w:sz w:val="22"/>
          <w:szCs w:val="22"/>
        </w:rPr>
      </w:pPr>
    </w:p>
    <w:p w:rsid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Verificado el cu</w:t>
      </w:r>
      <w:r w:rsidRPr="00832EB3">
        <w:rPr>
          <w:color w:val="000000"/>
          <w:sz w:val="22"/>
          <w:szCs w:val="22"/>
        </w:rPr>
        <w:t>mplimiento de los requisitos de las acciones implementadas para mitigar los riesgos de Corrupción identificados por el Proceso de Gestión Financiera, así:</w:t>
      </w:r>
    </w:p>
    <w:p w:rsid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</w:p>
    <w:p w:rsid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</w:p>
    <w:p w:rsid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</w:p>
    <w:p w:rsid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</w:p>
    <w:p w:rsid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</w:p>
    <w:p w:rsid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</w:p>
    <w:p w:rsid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tabs>
          <w:tab w:val="left" w:pos="1440"/>
        </w:tabs>
        <w:jc w:val="both"/>
        <w:rPr>
          <w:sz w:val="22"/>
          <w:szCs w:val="22"/>
        </w:rPr>
      </w:pPr>
    </w:p>
    <w:p w:rsidR="00832EB3" w:rsidRPr="00832EB3" w:rsidRDefault="00287B96" w:rsidP="00832EB3">
      <w:pPr>
        <w:ind w:left="1418" w:hanging="1560"/>
        <w:jc w:val="center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 xml:space="preserve">Anexo 1 </w:t>
      </w:r>
    </w:p>
    <w:p w:rsidR="00832EB3" w:rsidRPr="00832EB3" w:rsidRDefault="00287B96" w:rsidP="00832EB3">
      <w:pPr>
        <w:ind w:left="1418" w:hanging="1560"/>
        <w:jc w:val="center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 xml:space="preserve"> Plan de Evaluación y Seguimiento de los Riesgos</w:t>
      </w:r>
    </w:p>
    <w:tbl>
      <w:tblPr>
        <w:tblW w:w="8657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1843"/>
        <w:gridCol w:w="1417"/>
        <w:gridCol w:w="1276"/>
        <w:gridCol w:w="1559"/>
      </w:tblGrid>
      <w:tr w:rsidR="003750F1" w:rsidTr="00171258">
        <w:trPr>
          <w:trHeight w:val="645"/>
        </w:trPr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>ORIGEN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>TIPO DE ACCIÓN</w:t>
            </w:r>
          </w:p>
          <w:p w:rsidR="00832EB3" w:rsidRPr="00832EB3" w:rsidRDefault="00287B96" w:rsidP="001712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 xml:space="preserve"> (Preventiva)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>ABIERTAS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>MITIGADAS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2EB3">
              <w:rPr>
                <w:b/>
                <w:color w:val="000000"/>
                <w:sz w:val="22"/>
                <w:szCs w:val="22"/>
              </w:rPr>
              <w:t>TOTAL MITIGADAS MAS  ABIERTAS</w:t>
            </w:r>
          </w:p>
        </w:tc>
      </w:tr>
      <w:tr w:rsidR="003750F1" w:rsidTr="00171258">
        <w:trPr>
          <w:trHeight w:val="252"/>
        </w:trPr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50F1" w:rsidTr="00171258">
        <w:trPr>
          <w:trHeight w:val="396"/>
        </w:trPr>
        <w:tc>
          <w:tcPr>
            <w:tcW w:w="2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rPr>
                <w:color w:val="000000"/>
                <w:sz w:val="22"/>
                <w:szCs w:val="22"/>
              </w:rPr>
            </w:pPr>
            <w:r w:rsidRPr="00832EB3">
              <w:rPr>
                <w:color w:val="000000"/>
                <w:sz w:val="22"/>
                <w:szCs w:val="22"/>
              </w:rPr>
              <w:t>1.2. Corrupción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color w:val="000000"/>
                <w:sz w:val="22"/>
                <w:szCs w:val="22"/>
              </w:rPr>
            </w:pPr>
            <w:r w:rsidRPr="00832EB3">
              <w:rPr>
                <w:color w:val="000000"/>
                <w:sz w:val="22"/>
                <w:szCs w:val="22"/>
              </w:rPr>
              <w:t>Preventiva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color w:val="000000"/>
                <w:sz w:val="22"/>
                <w:szCs w:val="22"/>
              </w:rPr>
            </w:pPr>
            <w:r w:rsidRPr="00832E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color w:val="000000"/>
                <w:sz w:val="22"/>
                <w:szCs w:val="22"/>
              </w:rPr>
            </w:pPr>
            <w:r w:rsidRPr="00832E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</w:tr>
      <w:tr w:rsidR="003750F1" w:rsidTr="00171258">
        <w:trPr>
          <w:trHeight w:val="33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2EB3">
              <w:rPr>
                <w:b/>
                <w:bCs/>
                <w:color w:val="000000"/>
                <w:sz w:val="22"/>
                <w:szCs w:val="22"/>
              </w:rPr>
              <w:t>TOTAL RIESGOS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2E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832EB3" w:rsidRPr="00832EB3" w:rsidRDefault="00287B96" w:rsidP="001712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2EB3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</w:tr>
    </w:tbl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Fuente: Proceso Gestión Financiera, Diciembre de 2015.</w:t>
      </w:r>
    </w:p>
    <w:p w:rsidR="00832EB3" w:rsidRPr="00832EB3" w:rsidRDefault="00287B96" w:rsidP="00832EB3">
      <w:pPr>
        <w:tabs>
          <w:tab w:val="left" w:pos="1440"/>
        </w:tabs>
        <w:jc w:val="both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Origen 1.2  RIESGOS</w:t>
      </w:r>
    </w:p>
    <w:p w:rsidR="00832EB3" w:rsidRPr="00832EB3" w:rsidRDefault="00287B96" w:rsidP="00832EB3">
      <w:pPr>
        <w:jc w:val="both"/>
        <w:rPr>
          <w:b/>
          <w:sz w:val="22"/>
          <w:szCs w:val="22"/>
        </w:rPr>
      </w:pPr>
    </w:p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 xml:space="preserve">Para la presente vigencia el Proceso de Gestión </w:t>
      </w:r>
      <w:r w:rsidRPr="00832EB3">
        <w:rPr>
          <w:color w:val="000000"/>
          <w:sz w:val="22"/>
          <w:szCs w:val="22"/>
        </w:rPr>
        <w:t>Financiera registró dos riesgos (2) de Corrupción, por el cumplimiento de las acciones fueron mitigados como se muestra a continuación:</w:t>
      </w:r>
    </w:p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jc w:val="both"/>
        <w:rPr>
          <w:i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 xml:space="preserve">1.2  </w:t>
      </w:r>
      <w:r w:rsidRPr="00832EB3">
        <w:rPr>
          <w:color w:val="000000"/>
          <w:sz w:val="22"/>
          <w:szCs w:val="22"/>
        </w:rPr>
        <w:t>“</w:t>
      </w:r>
      <w:r w:rsidRPr="00832EB3">
        <w:rPr>
          <w:i/>
          <w:color w:val="000000"/>
          <w:sz w:val="22"/>
          <w:szCs w:val="22"/>
        </w:rPr>
        <w:t xml:space="preserve">Inclusión de Gastos no autorizados”. </w:t>
      </w:r>
    </w:p>
    <w:p w:rsidR="00832EB3" w:rsidRPr="00832EB3" w:rsidRDefault="00287B96" w:rsidP="00832EB3">
      <w:pPr>
        <w:ind w:left="720"/>
        <w:jc w:val="both"/>
        <w:rPr>
          <w:i/>
          <w:sz w:val="22"/>
          <w:szCs w:val="22"/>
        </w:rPr>
      </w:pPr>
    </w:p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Se comprobó en la Subdirección Financiera que el Área</w:t>
      </w:r>
      <w:r w:rsidRPr="00832EB3">
        <w:rPr>
          <w:color w:val="000000"/>
          <w:sz w:val="22"/>
          <w:szCs w:val="22"/>
        </w:rPr>
        <w:t xml:space="preserve"> de Presupuesto realiza diariamente los cruces con la Secretaria de Hacienda Distrital (Predis), se constató el registro de las Disponibilidades y Giros, expedición del Certificado de Disponibilidad Presupuestal, la solicitud del CDP, el objeto del gasto, </w:t>
      </w:r>
      <w:r w:rsidRPr="00832EB3">
        <w:rPr>
          <w:color w:val="000000"/>
          <w:sz w:val="22"/>
          <w:szCs w:val="22"/>
        </w:rPr>
        <w:t>la fuente de financiación si corresponde al rubro solicitado, revisa en forma permanente la ejecución presupuestal, c</w:t>
      </w:r>
      <w:r>
        <w:rPr>
          <w:color w:val="000000"/>
          <w:sz w:val="22"/>
          <w:szCs w:val="22"/>
        </w:rPr>
        <w:t>o</w:t>
      </w:r>
      <w:r w:rsidRPr="00832EB3">
        <w:rPr>
          <w:color w:val="000000"/>
          <w:sz w:val="22"/>
          <w:szCs w:val="22"/>
        </w:rPr>
        <w:t xml:space="preserve">n el fin de establecer si existe disponibilidad de recursos, entre otros. </w:t>
      </w:r>
    </w:p>
    <w:p w:rsidR="00832EB3" w:rsidRPr="00832EB3" w:rsidRDefault="00287B96" w:rsidP="00832EB3">
      <w:pPr>
        <w:jc w:val="both"/>
        <w:rPr>
          <w:sz w:val="22"/>
          <w:szCs w:val="22"/>
        </w:rPr>
      </w:pPr>
    </w:p>
    <w:p w:rsidR="00832EB3" w:rsidRPr="00832EB3" w:rsidRDefault="00287B96" w:rsidP="00832EB3">
      <w:pPr>
        <w:jc w:val="both"/>
        <w:rPr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 xml:space="preserve">1.2 </w:t>
      </w:r>
      <w:r w:rsidRPr="00832EB3">
        <w:rPr>
          <w:i/>
          <w:color w:val="000000"/>
          <w:sz w:val="22"/>
          <w:szCs w:val="22"/>
        </w:rPr>
        <w:t>“Afectar rubros que no corresponden con el objeto del gast</w:t>
      </w:r>
      <w:r w:rsidRPr="00832EB3">
        <w:rPr>
          <w:i/>
          <w:color w:val="000000"/>
          <w:sz w:val="22"/>
          <w:szCs w:val="22"/>
        </w:rPr>
        <w:t>o en beneficio propio o a cambio de una retribución económica”.</w:t>
      </w:r>
    </w:p>
    <w:p w:rsidR="00832EB3" w:rsidRPr="00832EB3" w:rsidRDefault="00287B96" w:rsidP="00832EB3">
      <w:pPr>
        <w:jc w:val="both"/>
        <w:rPr>
          <w:sz w:val="22"/>
          <w:szCs w:val="22"/>
        </w:rPr>
      </w:pPr>
    </w:p>
    <w:p w:rsidR="00832EB3" w:rsidRPr="00832EB3" w:rsidRDefault="00287B96" w:rsidP="00832EB3">
      <w:pPr>
        <w:tabs>
          <w:tab w:val="left" w:pos="1440"/>
        </w:tabs>
        <w:jc w:val="both"/>
        <w:rPr>
          <w:b/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De conformidad con el Decreto 603 de diciembre de 2014, el Área</w:t>
      </w:r>
      <w:r w:rsidRPr="00832EB3">
        <w:rPr>
          <w:color w:val="000000"/>
          <w:sz w:val="22"/>
          <w:szCs w:val="22"/>
        </w:rPr>
        <w:t xml:space="preserve"> de Presupuesto realiza el registro de los rubros a afectar, en forma permanente efectúa control y seguimiento a la ejecución Presupuestal de la Entidad para conocer el valor disponible en el momento que se requiera, así como,  el avance de la ejecución pr</w:t>
      </w:r>
      <w:r w:rsidRPr="00832EB3">
        <w:rPr>
          <w:color w:val="000000"/>
          <w:sz w:val="22"/>
          <w:szCs w:val="22"/>
        </w:rPr>
        <w:t>esupuestal y los giros realizados por cada uno de los rubros presupuestales.</w:t>
      </w:r>
      <w:r w:rsidRPr="00832EB3">
        <w:rPr>
          <w:b/>
          <w:color w:val="000000"/>
          <w:sz w:val="22"/>
          <w:szCs w:val="22"/>
        </w:rPr>
        <w:t xml:space="preserve"> </w:t>
      </w:r>
    </w:p>
    <w:p w:rsidR="00832EB3" w:rsidRP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Los anteriores riesgos fueron mitigados al finalizar la vigencia de 2015, se deja a consideración del Proceso de Gestión Financiera si se incluyen o se formulan nuevos riesgos pa</w:t>
      </w:r>
      <w:r w:rsidRPr="00832EB3">
        <w:rPr>
          <w:color w:val="000000"/>
          <w:sz w:val="22"/>
          <w:szCs w:val="22"/>
        </w:rPr>
        <w:t>ra la vigencia de 2016.</w:t>
      </w:r>
    </w:p>
    <w:p w:rsidR="00832EB3" w:rsidRPr="00832EB3" w:rsidRDefault="00287B96" w:rsidP="00832EB3">
      <w:pPr>
        <w:tabs>
          <w:tab w:val="left" w:pos="1440"/>
        </w:tabs>
        <w:jc w:val="both"/>
        <w:rPr>
          <w:b/>
          <w:color w:val="000000"/>
          <w:sz w:val="22"/>
          <w:szCs w:val="22"/>
        </w:rPr>
      </w:pPr>
    </w:p>
    <w:p w:rsidR="00832EB3" w:rsidRPr="00832EB3" w:rsidRDefault="00287B96" w:rsidP="00832EB3">
      <w:pPr>
        <w:tabs>
          <w:tab w:val="left" w:pos="1440"/>
        </w:tabs>
        <w:jc w:val="both"/>
        <w:rPr>
          <w:b/>
          <w:color w:val="000000"/>
          <w:sz w:val="22"/>
          <w:szCs w:val="22"/>
        </w:rPr>
      </w:pPr>
      <w:r w:rsidRPr="00832EB3">
        <w:rPr>
          <w:b/>
          <w:color w:val="000000"/>
          <w:sz w:val="22"/>
          <w:szCs w:val="22"/>
        </w:rPr>
        <w:t>RECOMENDACIONES GENERALES</w:t>
      </w:r>
    </w:p>
    <w:p w:rsidR="00832EB3" w:rsidRPr="00832EB3" w:rsidRDefault="00287B96" w:rsidP="00832EB3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832EB3" w:rsidRPr="00832EB3" w:rsidRDefault="00287B96" w:rsidP="00832EB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 xml:space="preserve">Para los hallazgos de origen 6-Auditaría Fiscal a los que se les solicitará el cierre, no deben ser retirados del Anexo 1 - Plan de Mejoramiento Acciones Correctivas y de Mejora, hasta el pronunciamiento </w:t>
      </w:r>
      <w:r w:rsidRPr="00832EB3">
        <w:rPr>
          <w:color w:val="000000"/>
          <w:sz w:val="22"/>
          <w:szCs w:val="22"/>
        </w:rPr>
        <w:t>del ente de control.</w:t>
      </w:r>
    </w:p>
    <w:p w:rsidR="00832EB3" w:rsidRPr="00832EB3" w:rsidRDefault="00287B96" w:rsidP="00832EB3">
      <w:pPr>
        <w:ind w:left="360"/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lastRenderedPageBreak/>
        <w:t>El Proceso de Gestión Financiera debe socializar el resultado de la verificación a los Anexos, Plan de Mejoramiento Acciones Correctivas de Mejora y Plan de Evaluación y Seguimiento de los Riesgos, con las dependencias del proceso.</w:t>
      </w:r>
    </w:p>
    <w:p w:rsidR="00832EB3" w:rsidRPr="00832EB3" w:rsidRDefault="00287B96" w:rsidP="00832EB3">
      <w:pPr>
        <w:ind w:left="360"/>
        <w:jc w:val="both"/>
        <w:rPr>
          <w:color w:val="000000"/>
          <w:sz w:val="22"/>
          <w:szCs w:val="22"/>
        </w:rPr>
      </w:pPr>
    </w:p>
    <w:p w:rsidR="00832EB3" w:rsidRPr="00832EB3" w:rsidRDefault="00287B96" w:rsidP="00832EB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832EB3">
        <w:rPr>
          <w:color w:val="000000"/>
          <w:sz w:val="22"/>
          <w:szCs w:val="22"/>
        </w:rPr>
        <w:t>A</w:t>
      </w:r>
      <w:r w:rsidRPr="00832EB3">
        <w:rPr>
          <w:color w:val="000000"/>
          <w:sz w:val="22"/>
          <w:szCs w:val="22"/>
        </w:rPr>
        <w:t xml:space="preserve">ctualizar el Plan de Manejo de Riesgos – vigencia 2016, de conformidad con la identificación realizada en cumplimiento del “PROCEDIMIENTO PARA ELABORAR EL MAPA DE RIESGOS INSTITUCIONAL”. </w:t>
      </w:r>
    </w:p>
    <w:p w:rsidR="00832EB3" w:rsidRPr="00832EB3" w:rsidRDefault="00287B96" w:rsidP="00832EB3">
      <w:pPr>
        <w:ind w:left="720"/>
        <w:jc w:val="both"/>
        <w:rPr>
          <w:color w:val="000000"/>
          <w:sz w:val="22"/>
          <w:szCs w:val="22"/>
        </w:rPr>
      </w:pPr>
    </w:p>
    <w:p w:rsidR="00832EB3" w:rsidRDefault="00287B96" w:rsidP="00832EB3">
      <w:pPr>
        <w:tabs>
          <w:tab w:val="left" w:pos="1440"/>
        </w:tabs>
        <w:jc w:val="both"/>
        <w:rPr>
          <w:color w:val="000000"/>
          <w:sz w:val="22"/>
          <w:szCs w:val="22"/>
        </w:rPr>
      </w:pPr>
    </w:p>
    <w:p w:rsidR="0080302C" w:rsidRPr="00832EB3" w:rsidRDefault="00287B96" w:rsidP="006836EB">
      <w:pPr>
        <w:outlineLvl w:val="0"/>
        <w:rPr>
          <w:rFonts w:cs="Arial"/>
          <w:sz w:val="22"/>
          <w:szCs w:val="22"/>
        </w:rPr>
      </w:pPr>
      <w:r w:rsidRPr="00832EB3">
        <w:rPr>
          <w:rFonts w:cs="Arial"/>
          <w:sz w:val="22"/>
          <w:szCs w:val="22"/>
        </w:rPr>
        <w:t>Cordialmente,</w:t>
      </w:r>
    </w:p>
    <w:p w:rsidR="00E07534" w:rsidRPr="00832EB3" w:rsidRDefault="00287B96" w:rsidP="006836EB">
      <w:pPr>
        <w:outlineLvl w:val="0"/>
        <w:rPr>
          <w:rFonts w:cs="Arial"/>
          <w:sz w:val="22"/>
          <w:szCs w:val="22"/>
        </w:rPr>
      </w:pPr>
    </w:p>
    <w:p w:rsidR="00EC36C7" w:rsidRDefault="00287B96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3750F1" w:rsidTr="00EC36C7">
        <w:trPr>
          <w:trHeight w:val="988"/>
        </w:trPr>
        <w:tc>
          <w:tcPr>
            <w:tcW w:w="4673" w:type="dxa"/>
          </w:tcPr>
          <w:p w:rsidR="007A6B81" w:rsidRDefault="00287B96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8D3DAE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10" o:title=""/>
                </v:shape>
              </w:pict>
            </w:r>
            <w:bookmarkEnd w:id="11"/>
          </w:p>
        </w:tc>
      </w:tr>
      <w:tr w:rsidR="003750F1" w:rsidTr="00EC36C7">
        <w:trPr>
          <w:trHeight w:val="286"/>
        </w:trPr>
        <w:tc>
          <w:tcPr>
            <w:tcW w:w="4673" w:type="dxa"/>
          </w:tcPr>
          <w:p w:rsidR="007A6B81" w:rsidRDefault="00287B96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287B96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287B96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C94A59" w:rsidRDefault="00287B96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p w:rsidR="00832EB3" w:rsidRPr="00832EB3" w:rsidRDefault="00287B96" w:rsidP="00832EB3">
      <w:pPr>
        <w:tabs>
          <w:tab w:val="left" w:pos="1440"/>
        </w:tabs>
        <w:jc w:val="right"/>
        <w:rPr>
          <w:b/>
          <w:color w:val="000000"/>
          <w:sz w:val="22"/>
          <w:szCs w:val="22"/>
        </w:rPr>
      </w:pPr>
    </w:p>
    <w:p w:rsidR="00832EB3" w:rsidRPr="00832EB3" w:rsidRDefault="00287B96" w:rsidP="00832EB3">
      <w:pPr>
        <w:tabs>
          <w:tab w:val="left" w:pos="1440"/>
        </w:tabs>
        <w:rPr>
          <w:sz w:val="18"/>
          <w:szCs w:val="22"/>
        </w:rPr>
      </w:pPr>
      <w:r w:rsidRPr="00832EB3">
        <w:rPr>
          <w:color w:val="000000"/>
          <w:sz w:val="18"/>
          <w:szCs w:val="22"/>
        </w:rPr>
        <w:t>Se anexa: Matriz en treinta y cinco (35) folios</w:t>
      </w:r>
    </w:p>
    <w:p w:rsidR="00832EB3" w:rsidRPr="00832EB3" w:rsidRDefault="00287B96" w:rsidP="00832EB3">
      <w:pPr>
        <w:tabs>
          <w:tab w:val="left" w:pos="1440"/>
        </w:tabs>
        <w:rPr>
          <w:color w:val="000000"/>
          <w:sz w:val="18"/>
          <w:szCs w:val="22"/>
        </w:rPr>
      </w:pPr>
      <w:r w:rsidRPr="00832EB3">
        <w:rPr>
          <w:color w:val="000000"/>
          <w:sz w:val="18"/>
          <w:szCs w:val="22"/>
        </w:rPr>
        <w:t>Elaboró: Blanca Isabel Rodríguez Sáenz- Servidora Pública OCI</w:t>
      </w:r>
    </w:p>
    <w:p w:rsidR="00832EB3" w:rsidRPr="00832EB3" w:rsidRDefault="00287B96" w:rsidP="00832EB3">
      <w:pPr>
        <w:tabs>
          <w:tab w:val="left" w:pos="1440"/>
        </w:tabs>
        <w:rPr>
          <w:sz w:val="18"/>
          <w:szCs w:val="22"/>
        </w:rPr>
      </w:pPr>
      <w:r w:rsidRPr="00832EB3">
        <w:rPr>
          <w:color w:val="000000"/>
          <w:sz w:val="18"/>
          <w:szCs w:val="22"/>
        </w:rPr>
        <w:t>Revisó</w:t>
      </w:r>
      <w:r w:rsidRPr="00832EB3">
        <w:rPr>
          <w:sz w:val="18"/>
          <w:szCs w:val="22"/>
        </w:rPr>
        <w:t xml:space="preserve">: </w:t>
      </w:r>
      <w:r w:rsidRPr="00832EB3">
        <w:rPr>
          <w:color w:val="000000"/>
          <w:sz w:val="18"/>
          <w:szCs w:val="22"/>
        </w:rPr>
        <w:t>Carmen Rosa Mendoza Suarez -Jefe Oficina de Control Interno</w:t>
      </w:r>
    </w:p>
    <w:p w:rsidR="00815CDD" w:rsidRPr="00301D93" w:rsidRDefault="00287B96" w:rsidP="00832EB3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96" w:rsidRDefault="00287B96">
      <w:r>
        <w:separator/>
      </w:r>
    </w:p>
  </w:endnote>
  <w:endnote w:type="continuationSeparator" w:id="0">
    <w:p w:rsidR="00287B96" w:rsidRDefault="0028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287B96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287B96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287B96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287B96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287B96" w:rsidP="00BD6F23">
    <w:pPr>
      <w:pStyle w:val="Piedepgina"/>
      <w:jc w:val="left"/>
    </w:pPr>
  </w:p>
  <w:p w:rsidR="007732BF" w:rsidRDefault="00287B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96" w:rsidRDefault="00287B96">
      <w:r>
        <w:separator/>
      </w:r>
    </w:p>
  </w:footnote>
  <w:footnote w:type="continuationSeparator" w:id="0">
    <w:p w:rsidR="00287B96" w:rsidRDefault="00287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287B96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287B96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287B96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3-2015-26347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2015-12-18 15:13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722809</w:t>
                          </w:r>
                          <w:bookmarkEnd w:id="4"/>
                        </w:p>
                        <w:p w:rsidR="007732BF" w:rsidRPr="00C71928" w:rsidRDefault="00287B96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 xml:space="preserve"> CONTRALORIA DE BOGOTA D.C.</w:t>
                          </w:r>
                          <w:bookmarkEnd w:id="5"/>
                        </w:p>
                        <w:p w:rsidR="007732BF" w:rsidRDefault="00287B96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287B96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13000-24111</w:t>
                          </w:r>
                          <w:bookmarkEnd w:id="9"/>
                        </w:p>
                        <w:p w:rsidR="007732BF" w:rsidRPr="00FC7DD4" w:rsidRDefault="00287B96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722809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 xml:space="preserve"> CONTRALORIA DE BOGOTA D.C.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E6378"/>
    <w:multiLevelType w:val="hybridMultilevel"/>
    <w:tmpl w:val="8A72E1F8"/>
    <w:lvl w:ilvl="0" w:tplc="1BDE5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48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D25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8A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83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2E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2D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CA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60E7"/>
    <w:multiLevelType w:val="hybridMultilevel"/>
    <w:tmpl w:val="DF7882C4"/>
    <w:lvl w:ilvl="0" w:tplc="3E26B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D43D72" w:tentative="1">
      <w:start w:val="1"/>
      <w:numFmt w:val="lowerLetter"/>
      <w:lvlText w:val="%2."/>
      <w:lvlJc w:val="left"/>
      <w:pPr>
        <w:ind w:left="1440" w:hanging="360"/>
      </w:pPr>
    </w:lvl>
    <w:lvl w:ilvl="2" w:tplc="94AC05D4" w:tentative="1">
      <w:start w:val="1"/>
      <w:numFmt w:val="lowerRoman"/>
      <w:lvlText w:val="%3."/>
      <w:lvlJc w:val="right"/>
      <w:pPr>
        <w:ind w:left="2160" w:hanging="180"/>
      </w:pPr>
    </w:lvl>
    <w:lvl w:ilvl="3" w:tplc="0DFA79DA" w:tentative="1">
      <w:start w:val="1"/>
      <w:numFmt w:val="decimal"/>
      <w:lvlText w:val="%4."/>
      <w:lvlJc w:val="left"/>
      <w:pPr>
        <w:ind w:left="2880" w:hanging="360"/>
      </w:pPr>
    </w:lvl>
    <w:lvl w:ilvl="4" w:tplc="11AC616E" w:tentative="1">
      <w:start w:val="1"/>
      <w:numFmt w:val="lowerLetter"/>
      <w:lvlText w:val="%5."/>
      <w:lvlJc w:val="left"/>
      <w:pPr>
        <w:ind w:left="3600" w:hanging="360"/>
      </w:pPr>
    </w:lvl>
    <w:lvl w:ilvl="5" w:tplc="19D8F532" w:tentative="1">
      <w:start w:val="1"/>
      <w:numFmt w:val="lowerRoman"/>
      <w:lvlText w:val="%6."/>
      <w:lvlJc w:val="right"/>
      <w:pPr>
        <w:ind w:left="4320" w:hanging="180"/>
      </w:pPr>
    </w:lvl>
    <w:lvl w:ilvl="6" w:tplc="3A761BF0" w:tentative="1">
      <w:start w:val="1"/>
      <w:numFmt w:val="decimal"/>
      <w:lvlText w:val="%7."/>
      <w:lvlJc w:val="left"/>
      <w:pPr>
        <w:ind w:left="5040" w:hanging="360"/>
      </w:pPr>
    </w:lvl>
    <w:lvl w:ilvl="7" w:tplc="1BF26EAC" w:tentative="1">
      <w:start w:val="1"/>
      <w:numFmt w:val="lowerLetter"/>
      <w:lvlText w:val="%8."/>
      <w:lvlJc w:val="left"/>
      <w:pPr>
        <w:ind w:left="5760" w:hanging="360"/>
      </w:pPr>
    </w:lvl>
    <w:lvl w:ilvl="8" w:tplc="250A6E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F1"/>
    <w:rsid w:val="00287B96"/>
    <w:rsid w:val="003750F1"/>
    <w:rsid w:val="008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288E9842-5334-4CEF-9E86-76522009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728F-7350-4257-A685-BE4A2CAF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1</TotalTime>
  <Pages>4</Pages>
  <Words>967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2015-12-18T20:14:00Z</dcterms:created>
  <dcterms:modified xsi:type="dcterms:W3CDTF">2015-12-18T20:14:00Z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  <property fmtid="{D5CDD505-2E9C-101B-9397-08002B2CF9AE}" pid="3" name="_MarkAsFinal">
    <vt:bool>true</vt:bool>
  </property>
</Properties>
</file>